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09" w:rsidRPr="002A0F08" w:rsidRDefault="00084613" w:rsidP="00084613">
      <w:pPr>
        <w:jc w:val="center"/>
        <w:rPr>
          <w:rFonts w:ascii="Arial" w:hAnsi="Arial" w:cs="Arial"/>
          <w:b/>
          <w:color w:val="0D0D0D" w:themeColor="text1" w:themeTint="F2"/>
          <w:sz w:val="16"/>
          <w:szCs w:val="16"/>
        </w:rPr>
      </w:pPr>
      <w:r>
        <w:rPr>
          <w:rFonts w:ascii="Arial" w:hAnsi="Arial" w:cs="Arial"/>
          <w:b/>
          <w:color w:val="0D0D0D" w:themeColor="text1" w:themeTint="F2"/>
          <w:sz w:val="16"/>
          <w:szCs w:val="16"/>
        </w:rPr>
        <w:t xml:space="preserve">Formularz asortymentowy </w:t>
      </w:r>
    </w:p>
    <w:p w:rsidR="003F1B44" w:rsidRPr="002A0F08" w:rsidRDefault="001656FE" w:rsidP="001656FE">
      <w:pPr>
        <w:ind w:left="360"/>
        <w:rPr>
          <w:rFonts w:ascii="Arial" w:hAnsi="Arial" w:cs="Arial"/>
          <w:color w:val="0D0D0D" w:themeColor="text1" w:themeTint="F2"/>
          <w:sz w:val="16"/>
          <w:szCs w:val="16"/>
        </w:rPr>
      </w:pPr>
      <w:r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I.1. </w:t>
      </w:r>
      <w:r w:rsidR="003F1B44"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Zestaw komputerowy – pracownie graficzne – </w:t>
      </w:r>
      <w:r w:rsidR="007E3463">
        <w:rPr>
          <w:rFonts w:ascii="Arial" w:hAnsi="Arial" w:cs="Arial"/>
          <w:color w:val="0D0D0D" w:themeColor="text1" w:themeTint="F2"/>
          <w:sz w:val="16"/>
          <w:szCs w:val="16"/>
        </w:rPr>
        <w:t>20</w:t>
      </w:r>
      <w:r w:rsidR="003F1B44" w:rsidRPr="002A0F08">
        <w:rPr>
          <w:rFonts w:ascii="Arial" w:hAnsi="Arial" w:cs="Arial"/>
          <w:color w:val="0D0D0D" w:themeColor="text1" w:themeTint="F2"/>
          <w:sz w:val="16"/>
          <w:szCs w:val="16"/>
        </w:rPr>
        <w:t xml:space="preserve"> sztuk</w:t>
      </w:r>
    </w:p>
    <w:tbl>
      <w:tblPr>
        <w:tblW w:w="8341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3"/>
        <w:gridCol w:w="3544"/>
        <w:gridCol w:w="3544"/>
      </w:tblGrid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Wymagania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Parametry przedmiotu oferowanego</w:t>
            </w: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Procesor klasy x86, 64 bitowy, uzyskujący wynik „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average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cpu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mark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” co najmniej </w:t>
            </w: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13000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punktów w teście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Passmark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- CPU Mark według wyników procesorów publikowanych na stronie </w:t>
            </w:r>
            <w:hyperlink r:id="rId8" w:history="1">
              <w:r w:rsidRPr="002A0F08">
                <w:rPr>
                  <w:rFonts w:ascii="Arial" w:eastAsia="Times New Roman" w:hAnsi="Arial" w:cs="Arial"/>
                  <w:color w:val="0D0D0D" w:themeColor="text1" w:themeTint="F2"/>
                  <w:sz w:val="16"/>
                  <w:szCs w:val="16"/>
                  <w:u w:val="single"/>
                  <w:lang w:eastAsia="pl-PL"/>
                </w:rPr>
                <w:t>http://cpubenchmark.net/</w:t>
              </w:r>
            </w:hyperlink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Płyta główna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wyposażona w min. 1 wolny slot PCI-Express x16 (dopuszcza się złącza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Low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Profile), 2 złącza DIMM, obsługa min do 16 GB DDR3 pamięci RAM, min. 3 złącza SATA3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75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7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7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Min 16 GB, wolny slot umożliwiający  rozbudowę do 32 GB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7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135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13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13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500 GB SSD zapis do 520mb/s odczyt do 550mb/s </w:t>
            </w:r>
            <w:r w:rsidRPr="002A0F08">
              <w:rPr>
                <w:rFonts w:ascii="Arial" w:eastAsia="Times New Roman" w:hAnsi="Arial" w:cs="Arial"/>
                <w:b/>
                <w:color w:val="0D0D0D" w:themeColor="text1" w:themeTint="F2"/>
                <w:sz w:val="16"/>
                <w:szCs w:val="16"/>
                <w:lang w:eastAsia="pl-PL"/>
              </w:rPr>
              <w:t>GWARANCJA PRODUCENTA 5 LAT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13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Napęd optyczny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DVD+/-RW z technologią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Double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Layer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, odczyt z prędkością</w:t>
            </w:r>
          </w:p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DVD ROM x16 lub większą, CD ROM x48 lub większą.</w:t>
            </w:r>
          </w:p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Możliwa praca w pionie i poziomie.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Grafika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Grafika wyposażona w minimum 3GB pamięci RAM. uzyskujący wynik „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average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g3d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mark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” co najmniej </w:t>
            </w: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9000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punktów w teście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Passmark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– G3D Mark według wyników procesorów publikowanych na stronie </w:t>
            </w:r>
            <w:hyperlink r:id="rId9" w:history="1">
              <w:r w:rsidRPr="002A0F08">
                <w:rPr>
                  <w:rFonts w:ascii="Arial" w:eastAsia="Times New Roman" w:hAnsi="Arial" w:cs="Arial"/>
                  <w:color w:val="0D0D0D" w:themeColor="text1" w:themeTint="F2"/>
                  <w:sz w:val="16"/>
                  <w:szCs w:val="16"/>
                  <w:u w:val="single"/>
                  <w:lang w:eastAsia="pl-PL"/>
                </w:rPr>
                <w:t>http://cpubenchmark.net/</w:t>
              </w:r>
            </w:hyperlink>
          </w:p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Podstawowe cechy: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br/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DisplayPort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: minimum 1x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DisplayPort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br/>
              <w:t>HDMI: minimum 1xHDMI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br/>
              <w:t>DVI-D: minimum 1x DVI-D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br/>
              <w:t>Typ złącza: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br/>
              <w:t xml:space="preserve">PCI-Express x16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Dźwięk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Karta dźwiękowa zintegrowana z płytą główną, zgodna z High Definition, min. 4 kanałowa, Zamontowany fabrycznie głośnik .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195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:rsidR="00084613" w:rsidRPr="002A0F08" w:rsidRDefault="00084613" w:rsidP="00E30290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Interfejs sieciowy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84613" w:rsidRPr="002A0F08" w:rsidRDefault="00084613" w:rsidP="00E30290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Wbudowana: 10/100/1000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Mbit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/s, Ethernet RJ 45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Zewnętrzne porty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Wbudowane: min. 6 x USB w tym min. 2 z przodu obudowy, wymagana ilość portów nie może być uzyskana poprzez stosowanie przejściówek lub kart PCI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180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18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Mysz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18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optyczna USB z rolką (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scroll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18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180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18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Klawiatura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18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Klawiatura USB w  układzie polski programisty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18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numPr>
                <w:ilvl w:val="0"/>
                <w:numId w:val="2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Możliwość włączenia/wyłączenia karty sieciowej, portów USB z poziomu BIOS bez uruchamiania systemu operacyjnego </w:t>
            </w:r>
          </w:p>
          <w:p w:rsidR="00084613" w:rsidRPr="002A0F08" w:rsidRDefault="00084613" w:rsidP="00E30290">
            <w:pPr>
              <w:numPr>
                <w:ilvl w:val="0"/>
                <w:numId w:val="2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możliwość startu systemu z urządzeń USB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numPr>
                <w:ilvl w:val="0"/>
                <w:numId w:val="2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Głośność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Głośność jednostki centralnej mierzona zgodnie z normą ISO 7779 oraz wykazana zgodnie z </w:t>
            </w: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lastRenderedPageBreak/>
              <w:t xml:space="preserve">normą ISO 9296 w pozycji obserwatora w trybie jałowym (IDLE) &lt;= 28dB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Obudowa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obudowa musi posiadać czujnik otwarcia obudowy, </w:t>
            </w:r>
          </w:p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komputer musi być wyposażony w system diagnostyczny, służący do sygnalizowania i diagnozowania problemów z komputerem i jego komponentami; a w szczególności musi sygnalizować:</w:t>
            </w:r>
          </w:p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przebieg procedury POST,</w:t>
            </w:r>
          </w:p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sum kontrolnych BIOS,</w:t>
            </w:r>
          </w:p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awarii procesora lub pamięci podręcznej procesora</w:t>
            </w:r>
          </w:p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uszkodzenia lub braku pamięci RAM, uszkodzenia złączy PCI, kontrolera Video, dysku twardego, płyty głównej, kontrolera USB,</w:t>
            </w:r>
          </w:p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otwarcie obudowy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numPr>
                <w:ilvl w:val="0"/>
                <w:numId w:val="3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315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Zabezpieczenie fizyczne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obudowa musi posiadać gniazdo zabezpieczenia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Kensington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Lock lub równoważne,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BIOS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Funkcja blokowanie wejścia do BIOS oraz blokowania startu systemu operacyjnego, (gwarantujący utrzymanie zapisanego hasła nawet w przypadku odłączenia wszystkich źródeł zasilania i podtrzymania BIOS)</w:t>
            </w:r>
          </w:p>
          <w:p w:rsidR="00084613" w:rsidRPr="002A0F08" w:rsidRDefault="00084613" w:rsidP="00E3029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Funkcja blokowania/odblokowywania BOOT-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owania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stacji roboczej z zewnętrznych urządzeń</w:t>
            </w:r>
          </w:p>
          <w:p w:rsidR="00084613" w:rsidRPr="002A0F08" w:rsidRDefault="00084613" w:rsidP="00E3029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Możliwość odczytania z BIOS informacji na temat: zainstalowanego procesora, pamięci operacyjnej RAM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numPr>
                <w:ilvl w:val="0"/>
                <w:numId w:val="4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System operacyjny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Zainstalowany system operacyjny niewymagający aktywacji za pomocą telefonu lub Internetu u producenta systemu - Microsoft Windows 10 Professional PL 64-bit lub równoważny.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Wsparcie techniczne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Na stronie internetowej producenta sprzętu muszą być dostępne:</w:t>
            </w:r>
          </w:p>
          <w:p w:rsidR="00084613" w:rsidRPr="002A0F08" w:rsidRDefault="00084613" w:rsidP="00E30290">
            <w:pPr>
              <w:numPr>
                <w:ilvl w:val="0"/>
                <w:numId w:val="5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informacje techniczne dotyczące oferowanego produktu,</w:t>
            </w:r>
          </w:p>
          <w:p w:rsidR="00084613" w:rsidRPr="002A0F08" w:rsidRDefault="00084613" w:rsidP="00E30290">
            <w:pPr>
              <w:numPr>
                <w:ilvl w:val="0"/>
                <w:numId w:val="5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najnowsze sterowniki i uaktualnienia (dostęp do nich musi być </w:t>
            </w:r>
          </w:p>
          <w:p w:rsidR="00084613" w:rsidRPr="002A0F08" w:rsidRDefault="00084613" w:rsidP="00E30290">
            <w:pPr>
              <w:numPr>
                <w:ilvl w:val="0"/>
                <w:numId w:val="5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realizowany poprzez podanie na dedykowanej stronie internetowej producenta numeru seryjnego lub modelu komputera).</w:t>
            </w:r>
          </w:p>
          <w:p w:rsidR="00084613" w:rsidRPr="002A0F08" w:rsidRDefault="00084613" w:rsidP="00E30290">
            <w:pPr>
              <w:numPr>
                <w:ilvl w:val="0"/>
                <w:numId w:val="5"/>
              </w:num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w specyfikacji należy wpisać link do właściwej strony zawierającej w/w dane.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Monitor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Przekątna ekranu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  <w:t>23”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lastRenderedPageBreak/>
              <w:t>Rodzaj wyświetlacza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TFT IPS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Technologia podświetlenia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LED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Czas reakcji matrycy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8 ms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Jasność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250 cd/m2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165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16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Częstotliwość odświeżania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16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60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Hz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165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120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12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Złącza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D-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sub</w:t>
            </w:r>
            <w:proofErr w:type="spellEnd"/>
          </w:p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HDMI</w:t>
            </w:r>
          </w:p>
          <w:p w:rsidR="00084613" w:rsidRPr="002A0F08" w:rsidRDefault="00084613" w:rsidP="00E30290">
            <w:pPr>
              <w:spacing w:after="0" w:line="120" w:lineRule="atLeast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DisplayPort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Kąt widzenia pion/poziom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178/178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Liczba kolorów obrazu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16.7 mln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Rozdzielczość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1920x1080 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Pochylenie monitora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w zakresie od 22 do 5 stopni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rHeight w:val="479"/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Powłoka powierzchni ekranu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Matowa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Kolor obudowy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Zgodny z kolorem obudowy komputera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Certyfikaty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CE, TUV-GS, VCCI-B, CU, TCO 6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funkcje monitora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Obrotowa podstawa monitora (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swivel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), Regulacja wysokości monitora (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height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adjustment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), Możliwość pochylenia 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panela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tilt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  <w:tr w:rsidR="00084613" w:rsidRPr="002A0F08" w:rsidTr="00084613">
        <w:trPr>
          <w:tblCellSpacing w:w="0" w:type="dxa"/>
        </w:trPr>
        <w:tc>
          <w:tcPr>
            <w:tcW w:w="1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Gwarancja na zestaw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Gwarancja rozszerzona 5 lat od daty sprzedaży z naprawą w miejscu użytkowania (on-</w:t>
            </w:r>
            <w:proofErr w:type="spellStart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site</w:t>
            </w:r>
            <w:proofErr w:type="spellEnd"/>
            <w:r w:rsidRPr="002A0F0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  <w:t>). Czas reakcji serwisu od momentu zgłoszenia – do końca następnego dnia roboczego.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84613" w:rsidRPr="002A0F08" w:rsidRDefault="00084613" w:rsidP="00E30290">
            <w:pPr>
              <w:spacing w:after="0" w:line="288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:rsidR="000279A0" w:rsidRDefault="000279A0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7E3463" w:rsidRPr="007E3463" w:rsidRDefault="007E3463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7E3463">
        <w:rPr>
          <w:rFonts w:ascii="Arial" w:hAnsi="Arial" w:cs="Arial"/>
          <w:color w:val="0D0D0D" w:themeColor="text1" w:themeTint="F2"/>
          <w:sz w:val="16"/>
          <w:szCs w:val="16"/>
        </w:rPr>
        <w:t>I.2.–</w:t>
      </w:r>
      <w:r w:rsidRPr="007E346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Microsoft Office 2019 wersja edukacyjna bezterminowa</w:t>
      </w:r>
      <w:r w:rsidRPr="007E3463">
        <w:rPr>
          <w:rFonts w:ascii="Arial" w:hAnsi="Arial" w:cs="Arial"/>
          <w:color w:val="0D0D0D" w:themeColor="text1" w:themeTint="F2"/>
          <w:sz w:val="16"/>
          <w:szCs w:val="16"/>
        </w:rPr>
        <w:t xml:space="preserve"> 20 sztuk</w:t>
      </w:r>
    </w:p>
    <w:p w:rsidR="007E3463" w:rsidRPr="007E3463" w:rsidRDefault="007E3463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I.2.1. Dostawa licencji oprogramowania Microsoft Office na 20 stanowisk określonej w Załączniku nr 1 do wzoru umowy. </w:t>
      </w:r>
    </w:p>
    <w:p w:rsidR="007E3463" w:rsidRPr="007E3463" w:rsidRDefault="007E3463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I.2.2. W celu utrzymania standaryzacji oprogramowania i pełnej jego kompatybilności, w opisie przedmiotu zamówienia wskazano znak towarowy firmy Microsoft ze względu na fakt rozszerzania posiadanych w ilości 50 szt. licencji oprogramowania. </w:t>
      </w:r>
    </w:p>
    <w:p w:rsidR="007E3463" w:rsidRDefault="007E3463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 w:rsidRPr="007E3463">
        <w:rPr>
          <w:rFonts w:ascii="Arial" w:hAnsi="Arial" w:cs="Arial"/>
          <w:color w:val="000000"/>
          <w:sz w:val="16"/>
          <w:szCs w:val="21"/>
          <w:shd w:val="clear" w:color="auto" w:fill="FFFFFF"/>
        </w:rPr>
        <w:t>I.2.3. W oparciu o art. 29 ust. 3 Ustawy z dnia 29.01.2004 r. Prawo zamówień publicznych wskazano w Załączniku nr 1 do umowy, znak towarowy firmy Microsoft jako wzorzec funkcjonalno-jakościowy przedmiotu zamówienia. Oznacza to tym samym, że Zamawiający dopuszcza złożenie oferty na oprogramowanie służące do tworzenia i edycji dokumentów, o parametrach funkcjonalnych i jakościowych tożsamych z parametrami oprogramowania określonego we wzorcu, o ile jednocześnie zostaną zachowane pozostałe wymagania, określone w SIWZ i zaoferowane oprogramowanie będzie w pełni i poprawnie funkcjonowało z posiadanym i użytkowanym przez Zamawiającego</w:t>
      </w:r>
    </w:p>
    <w:p w:rsidR="00E30290" w:rsidRDefault="007F1DC1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I.2.4 Oprogramowanie musi być dostarczone wraz ze stosownymi, oryginalnymi atrybutami legalności stosowanymi przez producenta oprogramowania stosowną do dostarczanej wersji.</w:t>
      </w:r>
    </w:p>
    <w:p w:rsidR="007F1DC1" w:rsidRDefault="007F1DC1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>I.2.5 Zamawiający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21"/>
          <w:shd w:val="clear" w:color="auto" w:fill="FFFFFF"/>
        </w:rPr>
        <w:t xml:space="preserve"> przewiduje możliwość zastosowania procedury sprawdzającej legalność oprogramowania.</w:t>
      </w:r>
    </w:p>
    <w:p w:rsidR="007F1DC1" w:rsidRDefault="007F1DC1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</w:p>
    <w:p w:rsidR="00E30290" w:rsidRDefault="00E30290" w:rsidP="00E30290">
      <w:pPr>
        <w:spacing w:after="0"/>
        <w:jc w:val="both"/>
        <w:rPr>
          <w:rFonts w:ascii="Arial" w:hAnsi="Arial" w:cs="Arial"/>
          <w:color w:val="000000"/>
          <w:sz w:val="16"/>
          <w:szCs w:val="21"/>
          <w:shd w:val="clear" w:color="auto" w:fill="FFFFFF"/>
        </w:rPr>
      </w:pPr>
    </w:p>
    <w:p w:rsidR="007E3463" w:rsidRDefault="007E3463" w:rsidP="007E3463">
      <w:pPr>
        <w:rPr>
          <w:rFonts w:ascii="Arial" w:hAnsi="Arial" w:cs="Arial"/>
          <w:b/>
          <w:bCs/>
          <w:sz w:val="16"/>
          <w:szCs w:val="16"/>
          <w:lang w:eastAsia="ar-SA"/>
        </w:rPr>
      </w:pPr>
      <w:r w:rsidRPr="007E3463">
        <w:rPr>
          <w:rFonts w:ascii="Arial" w:hAnsi="Arial" w:cs="Arial"/>
          <w:color w:val="0D0D0D" w:themeColor="text1" w:themeTint="F2"/>
          <w:sz w:val="16"/>
          <w:szCs w:val="16"/>
        </w:rPr>
        <w:t>I.3.–</w:t>
      </w:r>
      <w:r w:rsidRPr="007E3463"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 w:rsidRPr="007E3463">
        <w:rPr>
          <w:rFonts w:ascii="Arial" w:hAnsi="Arial" w:cs="Arial"/>
          <w:bCs/>
          <w:sz w:val="16"/>
          <w:szCs w:val="16"/>
          <w:lang w:eastAsia="ar-SA"/>
        </w:rPr>
        <w:t>urządzenie powielające 1 szt.</w:t>
      </w:r>
      <w:r w:rsidRPr="007E3463"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Funkcje: k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>opia</w:t>
      </w:r>
      <w:r>
        <w:rPr>
          <w:rFonts w:ascii="Arial" w:eastAsia="Times New Roman" w:hAnsi="Arial" w:cs="Arial"/>
          <w:sz w:val="16"/>
          <w:szCs w:val="16"/>
          <w:lang w:eastAsia="pl-PL"/>
        </w:rPr>
        <w:t>rka, drukarka i skaner kolorowy, opcja faks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Tryb pracy: 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>sieciowe, mono.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Ilość stron na minutę : 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 xml:space="preserve">32/17 stron A4/A3 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eastAsia="Times New Roman" w:hAnsi="Arial" w:cs="Arial"/>
          <w:sz w:val="16"/>
          <w:szCs w:val="16"/>
          <w:lang w:eastAsia="pl-PL"/>
        </w:rPr>
        <w:t>drukowanie w rozdzielczości</w:t>
      </w:r>
      <w:r w:rsidR="00E30290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 xml:space="preserve"> 1200 x1200 </w:t>
      </w:r>
      <w:proofErr w:type="spellStart"/>
      <w:r w:rsidRPr="000D3593">
        <w:rPr>
          <w:rFonts w:ascii="Arial" w:eastAsia="Times New Roman" w:hAnsi="Arial" w:cs="Arial"/>
          <w:sz w:val="16"/>
          <w:szCs w:val="16"/>
          <w:lang w:eastAsia="pl-PL"/>
        </w:rPr>
        <w:t>dpi</w:t>
      </w:r>
      <w:proofErr w:type="spellEnd"/>
      <w:r w:rsidRPr="000D359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eastAsia="Times New Roman" w:hAnsi="Arial" w:cs="Arial"/>
          <w:sz w:val="16"/>
          <w:szCs w:val="16"/>
          <w:lang w:eastAsia="pl-PL"/>
        </w:rPr>
        <w:t>9-calowy kolorowy ekran dotykowy z regulowanym</w:t>
      </w:r>
      <w:r w:rsidR="00E302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 xml:space="preserve">położeniem 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Pamięć: 2GB RAM + dysk SSD 32GB SSD 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eastAsia="Times New Roman" w:hAnsi="Arial" w:cs="Arial"/>
          <w:sz w:val="16"/>
          <w:szCs w:val="16"/>
          <w:lang w:eastAsia="pl-PL"/>
        </w:rPr>
        <w:t xml:space="preserve">Kasety na papier o pojemności 2 x 500 ark. + podajnik boczny na 100 ark. 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hAnsi="Arial" w:cs="Arial"/>
          <w:sz w:val="16"/>
          <w:szCs w:val="16"/>
          <w:shd w:val="clear" w:color="auto" w:fill="FFFFFF"/>
        </w:rPr>
        <w:t xml:space="preserve">Wydajność bębnów - 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>Żywotność na 600.000 kopii</w:t>
      </w:r>
    </w:p>
    <w:p w:rsidR="000D3593" w:rsidRP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eastAsia="Times New Roman" w:hAnsi="Arial" w:cs="Arial"/>
          <w:sz w:val="16"/>
          <w:szCs w:val="16"/>
          <w:lang w:eastAsia="pl-PL"/>
        </w:rPr>
        <w:t>Wydajność tonera na 20.000  kopii przy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>5% pokryciu strony (A4)</w:t>
      </w:r>
      <w:r w:rsidRPr="000D3593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0D3593" w:rsidRDefault="000D3593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D3593">
        <w:rPr>
          <w:rFonts w:ascii="Arial" w:eastAsia="Times New Roman" w:hAnsi="Arial" w:cs="Arial"/>
          <w:sz w:val="16"/>
          <w:szCs w:val="16"/>
          <w:lang w:eastAsia="pl-PL"/>
        </w:rPr>
        <w:t>urządzenia dostarczone musi być z podajnikiem dokumentów, szafką oraz pełnym tonerem</w:t>
      </w:r>
    </w:p>
    <w:p w:rsidR="00E30290" w:rsidRDefault="00E30290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0290" w:rsidRDefault="00E30290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Wzór urządzenia:</w:t>
      </w:r>
    </w:p>
    <w:p w:rsidR="00E30290" w:rsidRPr="000D3593" w:rsidRDefault="00E30290" w:rsidP="000D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color w:val="0D0D0D" w:themeColor="text1" w:themeTint="F2"/>
          <w:sz w:val="16"/>
          <w:szCs w:val="16"/>
          <w:lang w:eastAsia="pl-PL"/>
        </w:rPr>
        <w:drawing>
          <wp:inline distT="0" distB="0" distL="0" distR="0" wp14:anchorId="6E046C47" wp14:editId="3ABAD582">
            <wp:extent cx="2590764" cy="4181475"/>
            <wp:effectExtent l="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82" cy="433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63" w:rsidRPr="002C31B9" w:rsidRDefault="007E3463" w:rsidP="007E3463">
      <w:pPr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7E3463" w:rsidRPr="002C31B9" w:rsidSect="002724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9A" w:rsidRDefault="0015749A" w:rsidP="00084613">
      <w:pPr>
        <w:spacing w:after="0" w:line="240" w:lineRule="auto"/>
      </w:pPr>
      <w:r>
        <w:separator/>
      </w:r>
    </w:p>
  </w:endnote>
  <w:endnote w:type="continuationSeparator" w:id="0">
    <w:p w:rsidR="0015749A" w:rsidRDefault="0015749A" w:rsidP="000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9A" w:rsidRDefault="0015749A" w:rsidP="00084613">
      <w:pPr>
        <w:spacing w:after="0" w:line="240" w:lineRule="auto"/>
      </w:pPr>
      <w:r>
        <w:separator/>
      </w:r>
    </w:p>
  </w:footnote>
  <w:footnote w:type="continuationSeparator" w:id="0">
    <w:p w:rsidR="0015749A" w:rsidRDefault="0015749A" w:rsidP="0008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59" w:rsidRDefault="007E7B59" w:rsidP="00084613">
    <w:pPr>
      <w:pStyle w:val="Nagwek"/>
      <w:jc w:val="right"/>
    </w:pPr>
    <w: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C1"/>
    <w:multiLevelType w:val="multilevel"/>
    <w:tmpl w:val="8AC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F2023"/>
    <w:multiLevelType w:val="hybridMultilevel"/>
    <w:tmpl w:val="11705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C73EB"/>
    <w:multiLevelType w:val="multilevel"/>
    <w:tmpl w:val="BBE2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92DB1"/>
    <w:multiLevelType w:val="multilevel"/>
    <w:tmpl w:val="170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E15A2"/>
    <w:multiLevelType w:val="multilevel"/>
    <w:tmpl w:val="5AE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05DE3"/>
    <w:multiLevelType w:val="multilevel"/>
    <w:tmpl w:val="27D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65647"/>
    <w:multiLevelType w:val="hybridMultilevel"/>
    <w:tmpl w:val="2126F86E"/>
    <w:lvl w:ilvl="0" w:tplc="3A3213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D8E"/>
    <w:multiLevelType w:val="multilevel"/>
    <w:tmpl w:val="6C44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731F0"/>
    <w:multiLevelType w:val="hybridMultilevel"/>
    <w:tmpl w:val="AE2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6281"/>
    <w:multiLevelType w:val="multilevel"/>
    <w:tmpl w:val="967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348B2"/>
    <w:multiLevelType w:val="multilevel"/>
    <w:tmpl w:val="4964E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171C3F"/>
    <w:multiLevelType w:val="multilevel"/>
    <w:tmpl w:val="41C21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151489"/>
    <w:multiLevelType w:val="multilevel"/>
    <w:tmpl w:val="F4B2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E7CD5"/>
    <w:multiLevelType w:val="multilevel"/>
    <w:tmpl w:val="471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01FE3"/>
    <w:multiLevelType w:val="multilevel"/>
    <w:tmpl w:val="D82A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103D7E"/>
    <w:multiLevelType w:val="multilevel"/>
    <w:tmpl w:val="878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6132A"/>
    <w:multiLevelType w:val="hybridMultilevel"/>
    <w:tmpl w:val="91202466"/>
    <w:lvl w:ilvl="0" w:tplc="52945244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27FF"/>
    <w:multiLevelType w:val="multilevel"/>
    <w:tmpl w:val="7BC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73DB2"/>
    <w:multiLevelType w:val="hybridMultilevel"/>
    <w:tmpl w:val="AE2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0E49"/>
    <w:multiLevelType w:val="hybridMultilevel"/>
    <w:tmpl w:val="AE22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03725"/>
    <w:multiLevelType w:val="multilevel"/>
    <w:tmpl w:val="8AC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F5B08"/>
    <w:multiLevelType w:val="multilevel"/>
    <w:tmpl w:val="FAB8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D073B"/>
    <w:multiLevelType w:val="hybridMultilevel"/>
    <w:tmpl w:val="9C68F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F1C08"/>
    <w:multiLevelType w:val="multilevel"/>
    <w:tmpl w:val="0D48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0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21"/>
  </w:num>
  <w:num w:numId="10">
    <w:abstractNumId w:val="1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3"/>
  </w:num>
  <w:num w:numId="15">
    <w:abstractNumId w:val="21"/>
  </w:num>
  <w:num w:numId="16">
    <w:abstractNumId w:val="12"/>
  </w:num>
  <w:num w:numId="17">
    <w:abstractNumId w:val="19"/>
  </w:num>
  <w:num w:numId="18">
    <w:abstractNumId w:val="8"/>
  </w:num>
  <w:num w:numId="19">
    <w:abstractNumId w:val="18"/>
  </w:num>
  <w:num w:numId="20">
    <w:abstractNumId w:val="5"/>
  </w:num>
  <w:num w:numId="21">
    <w:abstractNumId w:val="16"/>
  </w:num>
  <w:num w:numId="22">
    <w:abstractNumId w:val="6"/>
  </w:num>
  <w:num w:numId="23">
    <w:abstractNumId w:val="10"/>
  </w:num>
  <w:num w:numId="24">
    <w:abstractNumId w:val="1"/>
  </w:num>
  <w:num w:numId="25">
    <w:abstractNumId w:val="9"/>
  </w:num>
  <w:num w:numId="26">
    <w:abstractNumId w:val="7"/>
  </w:num>
  <w:num w:numId="27">
    <w:abstractNumId w:val="0"/>
  </w:num>
  <w:num w:numId="28">
    <w:abstractNumId w:val="23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4"/>
    <w:rsid w:val="00007597"/>
    <w:rsid w:val="000151A9"/>
    <w:rsid w:val="000279A0"/>
    <w:rsid w:val="00084613"/>
    <w:rsid w:val="000946D2"/>
    <w:rsid w:val="000D3593"/>
    <w:rsid w:val="001253E5"/>
    <w:rsid w:val="0015749A"/>
    <w:rsid w:val="001642A2"/>
    <w:rsid w:val="001656FE"/>
    <w:rsid w:val="001C1958"/>
    <w:rsid w:val="001E5E16"/>
    <w:rsid w:val="00212952"/>
    <w:rsid w:val="00253F9A"/>
    <w:rsid w:val="00267642"/>
    <w:rsid w:val="0027240F"/>
    <w:rsid w:val="00294013"/>
    <w:rsid w:val="002A0F08"/>
    <w:rsid w:val="002B6AF5"/>
    <w:rsid w:val="002C31B9"/>
    <w:rsid w:val="00341C4C"/>
    <w:rsid w:val="00363917"/>
    <w:rsid w:val="0037622C"/>
    <w:rsid w:val="003F1B44"/>
    <w:rsid w:val="00463E45"/>
    <w:rsid w:val="005003D2"/>
    <w:rsid w:val="00517AB4"/>
    <w:rsid w:val="0056281C"/>
    <w:rsid w:val="0056497B"/>
    <w:rsid w:val="005763F8"/>
    <w:rsid w:val="005A279D"/>
    <w:rsid w:val="00647254"/>
    <w:rsid w:val="007E3463"/>
    <w:rsid w:val="007E7B59"/>
    <w:rsid w:val="007F1DC1"/>
    <w:rsid w:val="00813F74"/>
    <w:rsid w:val="009B121C"/>
    <w:rsid w:val="009D271F"/>
    <w:rsid w:val="00A2503C"/>
    <w:rsid w:val="00A62419"/>
    <w:rsid w:val="00AB4796"/>
    <w:rsid w:val="00AD0577"/>
    <w:rsid w:val="00B37D39"/>
    <w:rsid w:val="00B77465"/>
    <w:rsid w:val="00BA023C"/>
    <w:rsid w:val="00C13CBE"/>
    <w:rsid w:val="00C56309"/>
    <w:rsid w:val="00C778B4"/>
    <w:rsid w:val="00CA31FA"/>
    <w:rsid w:val="00CB7B09"/>
    <w:rsid w:val="00CE507D"/>
    <w:rsid w:val="00D0656E"/>
    <w:rsid w:val="00D817D6"/>
    <w:rsid w:val="00DE2BEC"/>
    <w:rsid w:val="00DF4643"/>
    <w:rsid w:val="00E30290"/>
    <w:rsid w:val="00E822FC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D5CB-DC3C-4F7A-9DD0-F04DFAC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1B44"/>
    <w:rPr>
      <w:color w:val="000080"/>
      <w:u w:val="single"/>
    </w:rPr>
  </w:style>
  <w:style w:type="table" w:styleId="Tabela-Siatka">
    <w:name w:val="Table Grid"/>
    <w:basedOn w:val="Standardowy"/>
    <w:uiPriority w:val="59"/>
    <w:rsid w:val="0056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B7B09"/>
    <w:rPr>
      <w:b/>
      <w:bCs/>
    </w:rPr>
  </w:style>
  <w:style w:type="character" w:styleId="Uwydatnienie">
    <w:name w:val="Emphasis"/>
    <w:basedOn w:val="Domylnaczcionkaakapitu"/>
    <w:uiPriority w:val="20"/>
    <w:qFormat/>
    <w:rsid w:val="00DF4643"/>
    <w:rPr>
      <w:i/>
      <w:iCs/>
    </w:rPr>
  </w:style>
  <w:style w:type="paragraph" w:customStyle="1" w:styleId="js-popuplinkinline">
    <w:name w:val="js-popuplink_inline"/>
    <w:basedOn w:val="Normalny"/>
    <w:rsid w:val="0026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267642"/>
  </w:style>
  <w:style w:type="paragraph" w:styleId="Tekstdymka">
    <w:name w:val="Balloon Text"/>
    <w:basedOn w:val="Normalny"/>
    <w:link w:val="TekstdymkaZnak"/>
    <w:uiPriority w:val="99"/>
    <w:semiHidden/>
    <w:unhideWhenUsed/>
    <w:rsid w:val="005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613"/>
  </w:style>
  <w:style w:type="paragraph" w:styleId="Stopka">
    <w:name w:val="footer"/>
    <w:basedOn w:val="Normalny"/>
    <w:link w:val="StopkaZnak"/>
    <w:uiPriority w:val="99"/>
    <w:unhideWhenUsed/>
    <w:rsid w:val="0008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6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6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ABB9-6F8B-4A62-958B-C10CF6B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Windows User</cp:lastModifiedBy>
  <cp:revision>5</cp:revision>
  <dcterms:created xsi:type="dcterms:W3CDTF">2019-05-06T07:08:00Z</dcterms:created>
  <dcterms:modified xsi:type="dcterms:W3CDTF">2019-09-11T15:33:00Z</dcterms:modified>
</cp:coreProperties>
</file>